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FEE28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Kierownik Jednostki Samorządu Terytorialnego (dalej JST)  - w rozumieniu art. 33 ust. 3 Ustawy o samorządzie gminnym   (t.j. Dz. U. z 2020 r. poz. 713, 1378) </w:t>
      </w:r>
    </w:p>
    <w:p w14:paraId="2E603499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14:paraId="3BCE90AC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Dane Podmiotu wnoszącego petycję/wniosek* znajdują się poniżej oraz w załączonym pliku sygnowanym kwalifikowanym podpisem elektronicznym - stosownie do dyspozycji Ustawy z dnia 5 września 2016 r. o usługach zaufania oraz identyfikacji elektronicznej (t.j. Dz. U. z 2019 r. poz. 162, 1590)  oraz przepisów art. 4 ust. 5 Ustawy o petycjach ( tj. Dz.U. 2018 poz. 870)*  </w:t>
      </w:r>
    </w:p>
    <w:p w14:paraId="7E90EE12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Data dostarczenia  zgodna z dyspozycją art. 61 pkt. 2 Ustawy Kodeks Cywilny (t.j. Dz. U. z 2020 r. poz. 1740)  </w:t>
      </w:r>
    </w:p>
    <w:p w14:paraId="190A35B5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37BB1C53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203A5F24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7A60AA63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W razie wątpliwości co do trybu jaki należy zastosować do naszego pisma - wnosimy o bezwzględne zastosowanie dyspozycji </w:t>
      </w: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art. 222 Ustawy z dnia 14 czerwca 1960 r. Kodeks postępowania administracyjnego ( t.j. Dz. U. z 2020 r. poz. 256, 695) </w:t>
      </w:r>
    </w:p>
    <w:p w14:paraId="69758EA6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5DEE6BB7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Preambuła Wniosku: </w:t>
      </w:r>
    </w:p>
    <w:p w14:paraId="1EA73D86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Art. 7 ust. 1  Ustawy z dnia 8 marca 1990 r. o samorządzie gminnym (Dz.U.2018.994 tj. z dnia 2018.05.24)  - nakazuje Wójtom/Burmistrzom/Prezydentom - w ramach zadań własnych - dbać o ochronę środowiska i utrzymanie czystości na terenie Gminy. Tymczasem jak wynika z naszych poprzednich akcji wnioskowania - ilość skarg mieszkańców na ten obszar wypełniania zadań publicznych - z roku na rok rośnie. </w:t>
      </w:r>
    </w:p>
    <w:p w14:paraId="10F002B1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Jak wynika z odpowiedzi na nasze poprzednie akcje wnioskowania - park maszynowy w Gminach jest przestarzały z duża emisją wtórną pyłów PM 2,5 i PM10, etc. </w:t>
      </w:r>
    </w:p>
    <w:p w14:paraId="62A3FEF0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487837B2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W opinii Wnioskodawcy : </w:t>
      </w:r>
    </w:p>
    <w:p w14:paraId="46FD80D4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Ostatnie działania Sfer Rządowych - w skali macro - zmierzające do ograniczenia zanieczyszczenia środowiska - są bardzo ciekawe, efektywne i kompleksowe.</w:t>
      </w:r>
    </w:p>
    <w:p w14:paraId="064424B4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7F40BF24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Z kolei w skali micro (Gminy/Miasta)  - w opinii wnioskodawcy - nie zawsze są w stanie sprostać oczekiwaniom mieszkańców w tej mierze. W miastach takich jak Kraków, czy Rybnik - sytuacja jest dramatyczna - o czym informują media oraz wszelkiego rodzaju zestawienia unijne. </w:t>
      </w:r>
    </w:p>
    <w:p w14:paraId="71F1B94B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615E5DC4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14:paraId="7C401B37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Ustawodawca stara się zmienić ten stan faktyczny - choćby poprzez  Ustawę z dnia 11 stycznia 2018 r. o elektromobilności i paliwach alternatywnych (Dz.U.2018.317 z 2018.02.07). </w:t>
      </w:r>
    </w:p>
    <w:p w14:paraId="42610637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Dzięki przepisom przedmiotowej ustawy -  po upływie przewidzianego vacatio legis (oczywiście w zależności od kwantyfikacji wielkości gminy) - znacznie wzrośnie udział pojazdów elektrycznych oraz pojazdów napędzanych gazem ziemnym w ramach floty pojazdów wykorzystywanych przez Gminę/Miasto do realizacji zadań publicznych.</w:t>
      </w:r>
    </w:p>
    <w:p w14:paraId="1F3841ED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Wszędzie na świecie Decydenci podejmują również szereg działań np. systemowo wspierających użytkowanie pojazdów elektrycznych, budowy publicznych stacji ładowania aut elektrycznych, etc   </w:t>
      </w:r>
    </w:p>
    <w:p w14:paraId="4C45E1AF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14:paraId="2FEFE672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Dlatego troską każdego Obywatela oraz Podmiotu gospodarczego - zajmującego się ex professo rzeczoną problematyką powinno być promowanie ekologicznych rozwiązań w tym obszarze. </w:t>
      </w:r>
    </w:p>
    <w:p w14:paraId="21685E29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Natomiast na Decydentach ciąży obowiązek wybrania rozwiązań najbardziej efektywnych z punktu wydatkowania publicznych pieniędzy i zachowania zasad uczciwej konkurencji.</w:t>
      </w: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14:paraId="3BF10DF5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14:paraId="29B13949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Pro forma - pozwalamy sobie przytoczyć - wszystkim dobrze znany - odpowiedni zapis Konstytucji RP:</w:t>
      </w:r>
    </w:p>
    <w:p w14:paraId="0EEF71BA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Art. 74. Ochrona środowiska jako obowiązek władz publicznych</w:t>
      </w:r>
    </w:p>
    <w:p w14:paraId="12EA95A2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1. Władze publiczne prowadzą politykę zapewniającą bezpieczeństwo ekologiczne współczesnemu i przyszłym pokoleniom.</w:t>
      </w:r>
    </w:p>
    <w:p w14:paraId="4C7B3002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2. Ochrona środowiska jest obowiązkiem władz publicznych.</w:t>
      </w:r>
    </w:p>
    <w:p w14:paraId="2CED937F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3. Każdy ma prawo do informacji o stanie i ochronie środowiska.</w:t>
      </w:r>
    </w:p>
    <w:p w14:paraId="31402FA7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4. Władze publiczne wspierają działania obywateli na rzecz ochrony i poprawy stanu środowiska.</w:t>
      </w:r>
    </w:p>
    <w:p w14:paraId="0670DC35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14:paraId="32BC9C1F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14:paraId="08BE13F4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7F101E13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Biorąc pod uwagę powyższe, oraz uzasadniony społecznie - interes pro publico bono, wnosimy: </w:t>
      </w:r>
    </w:p>
    <w:p w14:paraId="285EC613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56E19474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Osnowa Wniosku: </w:t>
      </w:r>
    </w:p>
    <w:p w14:paraId="2708FFE8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§1) Na mocy art. 61 Konstytucji RP, w trybie art. 6 ust. 1 pkt. 1 lit c oraz art. 6 ust. 1 pkt. 2 lit. c Ustawy z dnia 6 września o dostępie do informacji publicznej (t.j. Dz. U. z 2020 r.)   - wnosimy o udzielnie informacji publicznej w przedmiocie - </w:t>
      </w: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gdzie w stronie Internetowej lub w BIP - Gmina opublikowała PROJEKT  założeń do planu zaopatrzenia w ciepło, energię elektryczną i paliwa gazowe - w rozumieniu  art. 19 ust. Ustawy z dnia 10 kwietnia 1997 r. Prawo energetyczne (Dz.U.2017.220 t.j. z 2017.02.06)</w:t>
      </w:r>
    </w:p>
    <w:p w14:paraId="1F4E31FD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15E06E0F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lastRenderedPageBreak/>
        <w:t>§1.2) Na mocy art. 61 Konstytucji RP, w trybie art. 6 ust. 1 pkt. 1 lit c oraz art. 6 ust. 1 pkt. 2 lit. c Ustawy z dnia 6 września o dostępie do informacji publicznej (t.j. Dz. U. z 2020 r.) </w:t>
      </w: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gdzie (jakie medium np. BIP, tablica ogłoszeń, etc) Gmina opublikowała informację o stosowanych środkach poprawy efektywności energetycznej - zgodnie z obowiązkiem określonym w art. 6 ust. 3  Ustawy z dnia 15 kwietnia 2011 r. o efektywności energetycznej ( t.j. Dz. U. z 2021 r) ?   </w:t>
      </w:r>
    </w:p>
    <w:p w14:paraId="5DEB034C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14:paraId="1BEA7040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§1.3) Na mocy wzmiankowanych powyżej przepisów, art. 61 Konstytucji RP, w trybie art. 6 ust. 1 pkt 2 lit. d i pkt. 3   wzmiankowanej Ustawy o dostępie do informacji publicznej (t.j. Dz. U. z 2020 r. poz. 2176) </w:t>
      </w: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wnosimy o podanie danych kontaktowych Urzędnika, który w zakresie powierzonych mu zadań i wykonywanych kompetencji nadzoruje sprawy związane z wdrażaniem dyspozycji Ustawy z dnia 11 stycznia 2018 r. o elektromobilności i paliwach alternatywnych (t.j. Dz. U. z 2021 r. poz. 110). (Imię i nazwisko, adres do korespondencji e-mail, tel. i stanowisko służbowe Urzędnika) </w:t>
      </w:r>
    </w:p>
    <w:p w14:paraId="0BE10179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5202379A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Oczwyście, nadmieniamy, że Wnioskodawca jest świadomy poślizgów z zakresie wdrażania określonych vacatio legis oraz tego, że cześć gmin będzie stosowało przepisy przedmiotowej ustawy w ograniczonym zakresie, etc </w:t>
      </w:r>
    </w:p>
    <w:p w14:paraId="3A1BF513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Tak więc Wnioskodawca jest świadomy, że w zależności od wielkości gminy - różny będzie oczywiście zakres zadań i kompetencji tego Urzędnika </w:t>
      </w:r>
    </w:p>
    <w:p w14:paraId="5D95A37B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50AD8DC2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Prembuła do pytania 1.3 </w:t>
      </w:r>
    </w:p>
    <w:p w14:paraId="2D2430C8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6070324F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To jak ważki  jest to temat wynika choćby z materiałów publikowanych w prasie analizujących plany właściwego Ministerstwa w tym zakresie, etc </w:t>
      </w:r>
    </w:p>
    <w:p w14:paraId="4B46EFBE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ad exemplum - </w:t>
      </w: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vide: materiał: https://www.cire.pl/item,186469,1,0,0,0,0,0,rzad-szykuje-doplaty-do-stacji-ladowania-na-jakich-warunkach.html  </w:t>
      </w:r>
    </w:p>
    <w:p w14:paraId="7B682D34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669B1448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Dziennikarze tak interpretują te plany: </w:t>
      </w:r>
    </w:p>
    <w:p w14:paraId="6665F9AD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“(…) Jak czytamy w dokumencie opracowanym przez resort energii, jeśli wyniki monitorowania zakończonego na przełomie 2019/2020 r. wykażą, że liczba ogólnodostępnych stacji ładowania w danej gminie nie odpowiada minimalnej liczbie określonej w przepisach projektowanej ustaw dla gminy danej wielkości, władze takiej gminy będą zobowiązane do przygotowania planu rozwoju infrastruktury. Za budowę punktów ładowania w tym przypadku będzie odpowiadał operator sieci dystrybucyjnej elektroenergetycznej. (…) “ - wnioskodawca cytuje przedmiotowy fragment za portalem www.cire.pl </w:t>
      </w:r>
    </w:p>
    <w:p w14:paraId="712854C9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33499549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W związku z powyższym: </w:t>
      </w:r>
    </w:p>
    <w:p w14:paraId="28F0EB83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§1.4) Na mocy wzmiankowanych powyżej przepisów, art. 61 Konstytucji RP, w trybie art. 6 ust. 1 pkt 2 lit. b (w rzeczonym przepisie - expressis verbis Ustawodawca mówi o zamierzeniach w działaniach władzy)  Ustawy o dost. do inf. publ. (t.j. Dz. U. z 2020 r. poz. 2176) </w:t>
      </w: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wnosimy o poinformowanie wnioskodawcy o tym czy w ciągu najbliższych 4 lat Gmina/Miasto - zamierza uczestniczyć w Inwestycjach związanych z budową publicznych stacji ładowania aut elektrycznych ? </w:t>
      </w:r>
    </w:p>
    <w:p w14:paraId="3D87B9D6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1AF117E4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§4a) Aby zachować pełną jawność i transparentność działań - wnosimy o opublikowanie treści wniosku  na stronie internetowej podmiotu rozpatrującego petycję lub urzędu go obsługującego (Adresata) W tym przypadku prośba jest fakultatywna gdyż - obowiązek taki istnieje jedynie w przypadku petycji. Chcemy działać w pełni jawnie i transparentnie, mamy nadzieję, że Urząd również.  </w:t>
      </w:r>
    </w:p>
    <w:p w14:paraId="2E2E54CE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4278278C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Szczególna Istotność z punktu widzenia uzasadnionego Interesu  Pro Publico Bono: </w:t>
      </w:r>
    </w:p>
    <w:p w14:paraId="1691EEFE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Pomimo, że nie wnioskujemy o informację przetworzoną w zakresie wymagającym znacznych nakładów pracy, uzasadniamy nasze pytania  stosownie do brzmienia </w:t>
      </w: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art. 3 ust. 1 pkt. 1 Ustawy o dostępie do informacji publicznej  –</w:t>
      </w: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tym, że przedmiotowa informacja oraz ewentualna późniejsza  próba optymalizacji tego obszaru wydaje się szczególnie istotna z punktu widzenia uzasadnionego Interesu Społecznego </w:t>
      </w:r>
    </w:p>
    <w:p w14:paraId="778A4489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To jak - par excellence - ważka jest to tematyka wynika w badań społecznych, doniesień medialnych oraz z faktu jak dużą wagę do tej problematyki przywiązują sfery rządowe, etc  </w:t>
      </w:r>
    </w:p>
    <w:p w14:paraId="0E7439CD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1BDA3508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§4)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e-mail:    stacje-ladowania@samorzad.pl </w:t>
      </w:r>
    </w:p>
    <w:p w14:paraId="1D31394B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§5) Wnosimy o to, aby odpowiedź w  przedmiocie powyższych pytań i petycji złożonych na mocy art. 63 Konstytucji RP - w związku z art.  241 KPA, została udzielona - zwrotnie na adres e-mail stacje-ladowania@samorzad.pl </w:t>
      </w:r>
    </w:p>
    <w:p w14:paraId="046FAD5E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§6) Wniosek został sygnowany bezpiecznym, kwalifikowanym podpisem elektronicznym - stosownie do wytycznych Ustawy z dnia 5 września 2016 r. o usługach zaufania oraz identyfikacji elektronicznej (t.j. Dz. U. z 2019 r. poz. 162, 1590) </w:t>
      </w:r>
    </w:p>
    <w:p w14:paraId="4B5AAEB0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70EC70F9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39B6F4E5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Współwnioskodawca: </w:t>
      </w:r>
    </w:p>
    <w:p w14:paraId="3ADDD985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Osoba Prawna</w:t>
      </w:r>
    </w:p>
    <w:p w14:paraId="6BEEA578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Szulc-Efekt sp. z o. o.</w:t>
      </w:r>
    </w:p>
    <w:p w14:paraId="3D4EEAD9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Prezes Zarządu - Adam Szulc </w:t>
      </w:r>
    </w:p>
    <w:p w14:paraId="17946339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lastRenderedPageBreak/>
        <w:t>ul. Poligonowa 1</w:t>
      </w:r>
    </w:p>
    <w:p w14:paraId="32AF33C3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04-051 Warszawa</w:t>
      </w:r>
    </w:p>
    <w:p w14:paraId="06618035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nr KRS: 0000059459</w:t>
      </w:r>
    </w:p>
    <w:p w14:paraId="658025DA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Kapitał Zakładowy: 222.000,00 pln </w:t>
      </w:r>
    </w:p>
    <w:p w14:paraId="003909AB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www.gmina.pl    www.samorzad.pl </w:t>
      </w:r>
    </w:p>
    <w:p w14:paraId="2734A70F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29F9BE4C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6D063549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Komentarz do Wniosku: </w:t>
      </w:r>
    </w:p>
    <w:p w14:paraId="22371CE5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Adresat jest jednoznacznie identyfikowany - na podstawie - unikalnego adresu e-mail opublikowanego w Biuletynie Informacji Publicznej Jednostki i przypisanego do odnośnego Organu.</w:t>
      </w:r>
    </w:p>
    <w:p w14:paraId="375C3BE8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68730E64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Pomimo, iż w rzeczonym wniosku powołujemy się na art. 241 Ustawy z dnia 14 czerwca 1960 r. Kodeks postępowania administracyjnego (Dz.U.2016.23 t.j. z dnia 2016.01.07) -  w naszym mniemaniu - nie oznacza to, że Urząd powinien rozpatrywać niniejsze wnioski w trybie KPA  </w:t>
      </w:r>
    </w:p>
    <w:p w14:paraId="20FC0DBD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00A7C55C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Zatem - wg. Wnioskodawcy niniejszy wniosek może być jedynie fakultatywnie rozpatrywany - jako optymalizacyjny w związku z art. 241 KPA. </w:t>
      </w:r>
    </w:p>
    <w:p w14:paraId="3F4B08A7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W naszych wnioskach/petycjach  często powołujemy sie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3C97CB48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Każdy Podmiot mający styczność z Urzędem - ma prawo i obowiązek - usprawniać struktury administracji samorządowej i każdy Podmiot bez wyjątku ma obowiązek walczyć o lepszą przyszłość dla Polski. </w:t>
      </w:r>
    </w:p>
    <w:p w14:paraId="265E5B94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Zatem pomimo formy zewnętrznej - Decydenci mogą/powinni dokonać własnej interpretacji  - zgodnie z brzmieniem art. 222 KPA. </w:t>
      </w:r>
    </w:p>
    <w:p w14:paraId="0CEC0F1E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570C96E9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Nazwa Wnioskodawca/Petycjodawca - jest dla uproszczenia stosowna jako synonim nazwy “Podmiot Wnoszący Petycję” - w rozumieniu art. 4 ust. 4 Ustawy o petycjach (Dz.U.2014.1195 z dnia 2014.09.05) </w:t>
      </w:r>
    </w:p>
    <w:p w14:paraId="19065E82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2464705A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3C36FF57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24EE93DC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6FAB1DEF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12A850D0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5E31001F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18DE86D2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W Jednostkach Pionu Administracji Rządowej - stan faktyczny jest o wiele lepszy.  </w:t>
      </w:r>
    </w:p>
    <w:p w14:paraId="2BE6ECCC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55172506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73F44BFD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7E142FED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Jeżeli JST nie zgada się z powołanymi przepisami prawa, prosimy aby zastosowano podstawy prawne akceptowane przez JST.</w:t>
      </w:r>
    </w:p>
    <w:p w14:paraId="677FA396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</w:t>
      </w: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lastRenderedPageBreak/>
        <w:t>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26B3A183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5447E745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Pamiętajmy również o przepisach zawartych inter alia: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6580233F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7FD51847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2D114751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Postulujemy, ABY NASZA PETYCJA NIE BYŁA W ŻADNYM RAZIE ŁĄCZONA Z PÓŹNIEJSZYM jakimkolwiek trybem zamówienia  nie musimy dodawać, że mamy nadzieję, iż wszelkie postępowania będą  prowadzone z uwzględnieniem zasad uczciwej konkurencji - i o wyborze oferenta będą decydować jedynie ustalone przez decydentów kryteria związane inter alia z parametrami ofert oraz ceną. </w:t>
      </w:r>
    </w:p>
    <w:p w14:paraId="0AE9BB15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43BAC123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6E903181" w14:textId="77777777" w:rsidR="004D0410" w:rsidRPr="004D0410" w:rsidRDefault="004D0410" w:rsidP="004D0410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4D04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</w:t>
      </w:r>
    </w:p>
    <w:p w14:paraId="2CC8213E" w14:textId="77777777" w:rsidR="004D0410" w:rsidRPr="004D0410" w:rsidRDefault="004D0410" w:rsidP="004D0410">
      <w:pPr>
        <w:jc w:val="both"/>
        <w:rPr>
          <w:rFonts w:ascii="Arial" w:eastAsia="Times New Roman" w:hAnsi="Arial" w:cs="Arial"/>
          <w:sz w:val="18"/>
          <w:szCs w:val="18"/>
          <w:lang w:eastAsia="en-GB"/>
        </w:rPr>
      </w:pPr>
    </w:p>
    <w:p w14:paraId="7B849667" w14:textId="77777777" w:rsidR="00043425" w:rsidRPr="004D0410" w:rsidRDefault="004D0410" w:rsidP="004D0410">
      <w:pPr>
        <w:jc w:val="both"/>
        <w:rPr>
          <w:rFonts w:ascii="Arial" w:hAnsi="Arial" w:cs="Arial"/>
          <w:sz w:val="18"/>
          <w:szCs w:val="18"/>
        </w:rPr>
      </w:pPr>
    </w:p>
    <w:sectPr w:rsidR="00043425" w:rsidRPr="004D0410" w:rsidSect="00696D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10"/>
    <w:rsid w:val="004805F7"/>
    <w:rsid w:val="004D0410"/>
    <w:rsid w:val="0069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F09F5B"/>
  <w15:chartTrackingRefBased/>
  <w15:docId w15:val="{EF887FA3-6C97-B446-81E9-114FBE58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D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2484</Words>
  <Characters>14162</Characters>
  <Application>Microsoft Office Word</Application>
  <DocSecurity>0</DocSecurity>
  <Lines>118</Lines>
  <Paragraphs>33</Paragraphs>
  <ScaleCrop>false</ScaleCrop>
  <Company/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2021-05-29T08:14:00Z</dcterms:created>
  <dcterms:modified xsi:type="dcterms:W3CDTF">2021-05-29T08:24:00Z</dcterms:modified>
</cp:coreProperties>
</file>